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8C" w:rsidRDefault="001A4A92" w:rsidP="00331F6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2F1873" w:rsidRDefault="00494935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 xml:space="preserve">PG.SA.LZ – </w:t>
      </w:r>
      <w:r w:rsidR="00566E35">
        <w:rPr>
          <w:sz w:val="22"/>
          <w:u w:val="single"/>
        </w:rPr>
        <w:t xml:space="preserve">32 </w:t>
      </w:r>
      <w:r w:rsidR="002C4CE0">
        <w:rPr>
          <w:sz w:val="22"/>
          <w:u w:val="single"/>
        </w:rPr>
        <w:t>25</w:t>
      </w:r>
      <w:r>
        <w:rPr>
          <w:sz w:val="22"/>
          <w:u w:val="single"/>
        </w:rPr>
        <w:t xml:space="preserve"> </w:t>
      </w:r>
      <w:r w:rsidR="005122BF">
        <w:rPr>
          <w:sz w:val="22"/>
          <w:u w:val="single"/>
        </w:rPr>
        <w:t xml:space="preserve">   </w:t>
      </w:r>
      <w:r>
        <w:rPr>
          <w:sz w:val="22"/>
          <w:u w:val="single"/>
        </w:rPr>
        <w:t xml:space="preserve">–     CD </w:t>
      </w:r>
      <w:r w:rsidR="00566E35">
        <w:rPr>
          <w:sz w:val="22"/>
          <w:u w:val="single"/>
        </w:rPr>
        <w:t>32</w:t>
      </w:r>
      <w:r w:rsidR="002C4CE0">
        <w:rPr>
          <w:sz w:val="22"/>
          <w:u w:val="single"/>
        </w:rPr>
        <w:t xml:space="preserve"> 25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C20109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C20109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6E317A" w:rsidRPr="00D11491" w:rsidRDefault="006E317A" w:rsidP="00C20109">
      <w:pPr>
        <w:pStyle w:val="Sangra2detindependiente1"/>
        <w:ind w:left="0"/>
        <w:rPr>
          <w:i/>
        </w:rPr>
      </w:pPr>
      <w:r>
        <w:rPr>
          <w:rFonts w:ascii="Arial" w:hAnsi="Arial" w:cs="Arial"/>
        </w:rPr>
        <w:t xml:space="preserve">El presente llamado tiene por objeto la </w:t>
      </w:r>
      <w:r w:rsidRPr="00D11491">
        <w:rPr>
          <w:rFonts w:ascii="Arial" w:hAnsi="Arial" w:cs="Arial"/>
          <w:i/>
        </w:rPr>
        <w:t xml:space="preserve">contratación del servicio de </w:t>
      </w:r>
      <w:r w:rsidR="002C4CE0">
        <w:rPr>
          <w:rFonts w:ascii="Arial" w:hAnsi="Arial" w:cs="Arial"/>
          <w:i/>
        </w:rPr>
        <w:t>E</w:t>
      </w:r>
      <w:r w:rsidRPr="00D11491">
        <w:rPr>
          <w:rFonts w:ascii="Arial" w:hAnsi="Arial" w:cs="Arial"/>
          <w:i/>
        </w:rPr>
        <w:t xml:space="preserve">mergencias </w:t>
      </w:r>
      <w:r w:rsidR="002C4CE0">
        <w:rPr>
          <w:rFonts w:ascii="Arial" w:hAnsi="Arial" w:cs="Arial"/>
          <w:i/>
        </w:rPr>
        <w:t>M</w:t>
      </w:r>
      <w:r w:rsidRPr="00D11491">
        <w:rPr>
          <w:rFonts w:ascii="Arial" w:hAnsi="Arial" w:cs="Arial"/>
          <w:i/>
        </w:rPr>
        <w:t>édicas bajo modalidad de área protegida para dependencias del Ministeri</w:t>
      </w:r>
      <w:r w:rsidR="002C4CE0">
        <w:rPr>
          <w:rFonts w:ascii="Arial" w:hAnsi="Arial" w:cs="Arial"/>
          <w:i/>
        </w:rPr>
        <w:t>o Público de Lomas de Zamora – Período 202</w:t>
      </w:r>
      <w:r w:rsidR="00566E35">
        <w:rPr>
          <w:rFonts w:ascii="Arial" w:hAnsi="Arial" w:cs="Arial"/>
          <w:i/>
        </w:rPr>
        <w:t>6</w:t>
      </w:r>
      <w:r w:rsidR="002C4CE0">
        <w:rPr>
          <w:rFonts w:ascii="Arial" w:hAnsi="Arial" w:cs="Arial"/>
          <w:i/>
        </w:rPr>
        <w:t>.</w:t>
      </w:r>
    </w:p>
    <w:p w:rsidR="002F1873" w:rsidRPr="00B87DCF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C20109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5A770E" w:rsidRDefault="006A2D73" w:rsidP="00C20109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no podrán presentar ofertas parciales de la cantidad requerida en cada renglón. </w:t>
      </w:r>
      <w:r w:rsidR="00820312">
        <w:rPr>
          <w:rFonts w:eastAsia="Times New Roman" w:cs="Arial"/>
          <w:szCs w:val="22"/>
          <w:lang w:val="es-ES"/>
        </w:rPr>
        <w:t>Se deja constancia que las Partes, de común acuerdo</w:t>
      </w:r>
      <w:r w:rsidR="00820312" w:rsidRPr="0052132B">
        <w:rPr>
          <w:rFonts w:eastAsia="Times New Roman" w:cs="Arial"/>
          <w:szCs w:val="22"/>
          <w:lang w:val="es-ES"/>
        </w:rPr>
        <w:t xml:space="preserve">, </w:t>
      </w:r>
      <w:r w:rsidR="00820312">
        <w:rPr>
          <w:rFonts w:eastAsia="Times New Roman" w:cs="Arial"/>
          <w:szCs w:val="22"/>
          <w:lang w:val="es-ES"/>
        </w:rPr>
        <w:t xml:space="preserve">podrán ampliar </w:t>
      </w:r>
      <w:r w:rsidR="00840181">
        <w:rPr>
          <w:rFonts w:eastAsia="Times New Roman" w:cs="Arial"/>
          <w:szCs w:val="22"/>
          <w:lang w:val="es-ES"/>
        </w:rPr>
        <w:t>el plazo de la Orden de Provisi</w:t>
      </w:r>
      <w:r w:rsidR="00086DE4">
        <w:rPr>
          <w:rFonts w:eastAsia="Times New Roman" w:cs="Arial"/>
          <w:szCs w:val="22"/>
          <w:lang w:val="es-ES"/>
        </w:rPr>
        <w:t>ón</w:t>
      </w:r>
      <w:r w:rsidR="00820312">
        <w:rPr>
          <w:rFonts w:eastAsia="Times New Roman" w:cs="Arial"/>
          <w:szCs w:val="22"/>
          <w:lang w:val="es-ES"/>
        </w:rPr>
        <w:t xml:space="preserve"> </w:t>
      </w:r>
      <w:r w:rsidR="00820312" w:rsidRPr="0052132B">
        <w:rPr>
          <w:rFonts w:eastAsia="Times New Roman" w:cs="Arial"/>
          <w:szCs w:val="22"/>
          <w:lang w:val="es-ES"/>
        </w:rPr>
        <w:t xml:space="preserve">hasta un </w:t>
      </w:r>
      <w:r w:rsidR="00840181">
        <w:rPr>
          <w:rFonts w:eastAsia="Times New Roman" w:cs="Arial"/>
          <w:szCs w:val="22"/>
          <w:lang w:val="es-ES"/>
        </w:rPr>
        <w:t>cincuenta por ciento (</w:t>
      </w:r>
      <w:r w:rsidR="00820312" w:rsidRPr="0052132B">
        <w:rPr>
          <w:rFonts w:eastAsia="Times New Roman" w:cs="Arial"/>
          <w:szCs w:val="22"/>
          <w:lang w:val="es-ES"/>
        </w:rPr>
        <w:t>50%</w:t>
      </w:r>
      <w:r w:rsidR="00840181">
        <w:rPr>
          <w:rFonts w:eastAsia="Times New Roman" w:cs="Arial"/>
          <w:szCs w:val="22"/>
          <w:lang w:val="es-ES"/>
        </w:rPr>
        <w:t>)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C20109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C20109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5A770E" w:rsidRDefault="002F1873" w:rsidP="00C20109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</w:t>
      </w:r>
      <w:r w:rsidR="00121502">
        <w:rPr>
          <w:b/>
        </w:rPr>
        <w:t>300</w:t>
      </w:r>
      <w:r w:rsidR="005A770E">
        <w:t xml:space="preserve"> </w:t>
      </w:r>
      <w:r w:rsidR="005A770E" w:rsidRPr="005A770E">
        <w:rPr>
          <w:b/>
        </w:rPr>
        <w:t xml:space="preserve">Planta Baja, Sector </w:t>
      </w:r>
      <w:r w:rsidR="00121502">
        <w:rPr>
          <w:b/>
        </w:rPr>
        <w:t xml:space="preserve">Fondo, </w:t>
      </w:r>
      <w:r w:rsidR="005A770E" w:rsidRPr="005A770E">
        <w:rPr>
          <w:b/>
        </w:rPr>
        <w:t xml:space="preserve"> Banfield.</w:t>
      </w:r>
    </w:p>
    <w:p w:rsidR="005A38AE" w:rsidRPr="004E3EA4" w:rsidRDefault="003C3E28" w:rsidP="00C20109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566E35">
        <w:rPr>
          <w:rFonts w:ascii="Arial Black" w:hAnsi="Arial Black"/>
          <w:b/>
          <w:sz w:val="20"/>
        </w:rPr>
        <w:t>32</w:t>
      </w:r>
      <w:r w:rsidR="004E3EA4" w:rsidRPr="004E3EA4">
        <w:rPr>
          <w:rFonts w:ascii="Arial Black" w:hAnsi="Arial Black"/>
          <w:b/>
          <w:sz w:val="20"/>
        </w:rPr>
        <w:t xml:space="preserve"> 202</w:t>
      </w:r>
      <w:r w:rsidR="002C4CE0">
        <w:rPr>
          <w:rFonts w:ascii="Arial Black" w:hAnsi="Arial Black"/>
          <w:b/>
          <w:sz w:val="20"/>
        </w:rPr>
        <w:t>5</w:t>
      </w:r>
    </w:p>
    <w:p w:rsidR="002F1873" w:rsidRPr="007F5124" w:rsidRDefault="002F1873" w:rsidP="00C20109">
      <w:pPr>
        <w:pStyle w:val="Listaconvietas"/>
        <w:numPr>
          <w:ilvl w:val="0"/>
          <w:numId w:val="35"/>
        </w:numPr>
        <w:ind w:left="709"/>
      </w:pPr>
      <w:r w:rsidRPr="007F5124">
        <w:lastRenderedPageBreak/>
        <w:t xml:space="preserve">Contratación Directa Nº </w:t>
      </w:r>
      <w:r w:rsidR="004E3EA4">
        <w:t xml:space="preserve">N° </w:t>
      </w:r>
      <w:r w:rsidR="00566E35">
        <w:rPr>
          <w:rFonts w:ascii="Arial Black" w:hAnsi="Arial Black"/>
          <w:sz w:val="20"/>
        </w:rPr>
        <w:t>32</w:t>
      </w:r>
      <w:r w:rsidR="004E3EA4" w:rsidRPr="004E3EA4">
        <w:rPr>
          <w:rFonts w:ascii="Arial Black" w:hAnsi="Arial Black"/>
          <w:sz w:val="20"/>
        </w:rPr>
        <w:t>/ 202</w:t>
      </w:r>
      <w:r w:rsidR="002C4CE0">
        <w:rPr>
          <w:rFonts w:ascii="Arial Black" w:hAnsi="Arial Black"/>
          <w:sz w:val="20"/>
        </w:rPr>
        <w:t>5</w:t>
      </w:r>
      <w:r w:rsidRPr="007F5124">
        <w:t>.</w:t>
      </w:r>
    </w:p>
    <w:p w:rsidR="00121502" w:rsidRPr="00121502" w:rsidRDefault="00521556" w:rsidP="00C20109">
      <w:pPr>
        <w:pStyle w:val="Listaconvietas"/>
        <w:numPr>
          <w:ilvl w:val="0"/>
          <w:numId w:val="35"/>
        </w:numPr>
        <w:ind w:left="709"/>
        <w:rPr>
          <w:b/>
          <w:i/>
        </w:rPr>
      </w:pPr>
      <w:r>
        <w:t>Objeto de la contratación</w:t>
      </w:r>
      <w:r w:rsidR="004E3EA4">
        <w:t>:</w:t>
      </w:r>
      <w:r>
        <w:t xml:space="preserve"> </w:t>
      </w:r>
      <w:r w:rsidR="00121502" w:rsidRPr="00121502">
        <w:rPr>
          <w:b/>
          <w:i/>
        </w:rPr>
        <w:t xml:space="preserve">El presente llamado tiene por objeto la contratación del servicio de </w:t>
      </w:r>
      <w:r w:rsidR="002C4CE0">
        <w:rPr>
          <w:b/>
          <w:i/>
        </w:rPr>
        <w:t>E</w:t>
      </w:r>
      <w:r w:rsidR="00121502" w:rsidRPr="00121502">
        <w:rPr>
          <w:b/>
          <w:i/>
        </w:rPr>
        <w:t xml:space="preserve">mergencias </w:t>
      </w:r>
      <w:r w:rsidR="002C4CE0">
        <w:rPr>
          <w:b/>
          <w:i/>
        </w:rPr>
        <w:t>M</w:t>
      </w:r>
      <w:r w:rsidR="00121502" w:rsidRPr="00121502">
        <w:rPr>
          <w:b/>
          <w:i/>
        </w:rPr>
        <w:t xml:space="preserve">édicas bajo modalidad de área protegida para dependencias del Ministerio </w:t>
      </w:r>
      <w:r w:rsidR="002C4CE0">
        <w:rPr>
          <w:b/>
          <w:i/>
        </w:rPr>
        <w:t>de Lomas de Zamora –Período 202</w:t>
      </w:r>
      <w:r w:rsidR="006A2D73">
        <w:rPr>
          <w:b/>
          <w:i/>
        </w:rPr>
        <w:t>6</w:t>
      </w:r>
      <w:r w:rsidR="002C4CE0">
        <w:rPr>
          <w:b/>
          <w:i/>
        </w:rPr>
        <w:t>.</w:t>
      </w:r>
    </w:p>
    <w:p w:rsidR="002F1873" w:rsidRPr="007F5124" w:rsidRDefault="002F1873" w:rsidP="00C20109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566E35">
        <w:rPr>
          <w:b/>
        </w:rPr>
        <w:t>1</w:t>
      </w:r>
      <w:r w:rsidR="00121502">
        <w:rPr>
          <w:b/>
        </w:rPr>
        <w:t>7</w:t>
      </w:r>
      <w:r w:rsidR="00086DE4">
        <w:rPr>
          <w:b/>
        </w:rPr>
        <w:t xml:space="preserve"> de </w:t>
      </w:r>
      <w:r w:rsidR="00566E35">
        <w:rPr>
          <w:b/>
        </w:rPr>
        <w:t xml:space="preserve">Noviembre </w:t>
      </w:r>
      <w:r w:rsidR="00121502">
        <w:rPr>
          <w:b/>
        </w:rPr>
        <w:t>de 2025</w:t>
      </w:r>
    </w:p>
    <w:p w:rsidR="002F1873" w:rsidRPr="007F5124" w:rsidRDefault="002F1873" w:rsidP="00C20109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>1</w:t>
      </w:r>
      <w:r w:rsidR="00DF3E81">
        <w:rPr>
          <w:b/>
        </w:rPr>
        <w:t>2</w:t>
      </w:r>
      <w:r w:rsidR="00521556" w:rsidRPr="00521556">
        <w:rPr>
          <w:b/>
        </w:rPr>
        <w:t xml:space="preserve">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C20109">
      <w:pPr>
        <w:pStyle w:val="Listaconvietas"/>
      </w:pPr>
    </w:p>
    <w:p w:rsidR="00A656FC" w:rsidRPr="00820312" w:rsidRDefault="00A656FC" w:rsidP="00C20109">
      <w:pPr>
        <w:spacing w:line="256" w:lineRule="auto"/>
        <w:jc w:val="both"/>
        <w:rPr>
          <w:rFonts w:ascii="Arial" w:eastAsia="Calibri" w:hAnsi="Arial" w:cs="Arial"/>
        </w:rPr>
      </w:pPr>
      <w:bookmarkStart w:id="17" w:name="_Ref8477057"/>
      <w:bookmarkStart w:id="18" w:name="_Ref31184632"/>
      <w:bookmarkStart w:id="19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7"/>
    </w:p>
    <w:p w:rsidR="002F1873" w:rsidRPr="00820312" w:rsidRDefault="002F1873" w:rsidP="00C20109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8"/>
      <w:r w:rsidRPr="00820312">
        <w:rPr>
          <w:rFonts w:ascii="Arial" w:hAnsi="Arial" w:cs="Arial"/>
        </w:rPr>
        <w:t>oda raspadura o enmienda debe ser debidamente salvada por los oferentes</w:t>
      </w:r>
      <w:bookmarkStart w:id="20" w:name="_Ref54446672"/>
      <w:bookmarkEnd w:id="19"/>
      <w:r w:rsidRPr="00820312">
        <w:rPr>
          <w:rFonts w:ascii="Arial" w:hAnsi="Arial" w:cs="Arial"/>
        </w:rPr>
        <w:t>.</w:t>
      </w:r>
    </w:p>
    <w:p w:rsidR="00A656FC" w:rsidRPr="00820312" w:rsidRDefault="00A656FC" w:rsidP="00C20109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</w:t>
      </w:r>
      <w:r w:rsidR="00121502">
        <w:rPr>
          <w:rFonts w:ascii="Arial" w:eastAsia="Calibri" w:hAnsi="Arial" w:cs="Arial"/>
        </w:rPr>
        <w:t>2300</w:t>
      </w:r>
      <w:r w:rsidR="008268EB">
        <w:rPr>
          <w:rFonts w:ascii="Arial" w:eastAsia="Calibri" w:hAnsi="Arial" w:cs="Arial"/>
        </w:rPr>
        <w:t xml:space="preserve">, Planta Baja, Sector </w:t>
      </w:r>
      <w:r w:rsidR="00121502">
        <w:rPr>
          <w:rFonts w:ascii="Arial" w:eastAsia="Calibri" w:hAnsi="Arial" w:cs="Arial"/>
        </w:rPr>
        <w:t>Fondo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C20109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0"/>
    <w:p w:rsidR="002F1873" w:rsidRPr="007F5124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348C2" w:rsidRDefault="002F1873" w:rsidP="00C20109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8268EB">
        <w:rPr>
          <w:sz w:val="22"/>
          <w:szCs w:val="22"/>
        </w:rPr>
        <w:t>Larroque</w:t>
      </w:r>
      <w:proofErr w:type="spellEnd"/>
      <w:r w:rsidR="008268EB">
        <w:rPr>
          <w:sz w:val="22"/>
          <w:szCs w:val="22"/>
        </w:rPr>
        <w:t xml:space="preserve"> N° </w:t>
      </w:r>
      <w:r w:rsidR="00121502">
        <w:rPr>
          <w:sz w:val="22"/>
          <w:szCs w:val="22"/>
        </w:rPr>
        <w:t>2300</w:t>
      </w:r>
      <w:r w:rsidR="008268EB">
        <w:rPr>
          <w:sz w:val="22"/>
          <w:szCs w:val="22"/>
        </w:rPr>
        <w:t xml:space="preserve">, Planta Baja, Sector </w:t>
      </w:r>
      <w:r w:rsidR="00121502">
        <w:rPr>
          <w:sz w:val="22"/>
          <w:szCs w:val="22"/>
        </w:rPr>
        <w:t>Fondo</w:t>
      </w:r>
      <w:r w:rsidR="008268EB">
        <w:rPr>
          <w:sz w:val="22"/>
          <w:szCs w:val="22"/>
        </w:rPr>
        <w:t xml:space="preserve">, </w:t>
      </w:r>
      <w:r w:rsidR="002348C2">
        <w:rPr>
          <w:sz w:val="22"/>
          <w:szCs w:val="22"/>
        </w:rPr>
        <w:t xml:space="preserve">Banfield el día </w:t>
      </w:r>
      <w:r w:rsidR="006A2D73">
        <w:rPr>
          <w:b/>
          <w:sz w:val="22"/>
          <w:szCs w:val="22"/>
        </w:rPr>
        <w:t>17 de Noviembre</w:t>
      </w:r>
      <w:r w:rsidR="002348C2" w:rsidRPr="002348C2">
        <w:rPr>
          <w:b/>
          <w:sz w:val="22"/>
          <w:szCs w:val="22"/>
        </w:rPr>
        <w:t xml:space="preserve"> de 2025 a las 1</w:t>
      </w:r>
      <w:r w:rsidR="006A2D73">
        <w:rPr>
          <w:b/>
          <w:sz w:val="22"/>
          <w:szCs w:val="22"/>
        </w:rPr>
        <w:t>2</w:t>
      </w:r>
      <w:r w:rsidR="002348C2" w:rsidRPr="002348C2">
        <w:rPr>
          <w:b/>
          <w:sz w:val="22"/>
          <w:szCs w:val="22"/>
        </w:rPr>
        <w:t xml:space="preserve">.00 </w:t>
      </w:r>
      <w:proofErr w:type="spellStart"/>
      <w:r w:rsidR="002348C2" w:rsidRPr="002348C2">
        <w:rPr>
          <w:b/>
          <w:sz w:val="22"/>
          <w:szCs w:val="22"/>
        </w:rPr>
        <w:t>hs</w:t>
      </w:r>
      <w:proofErr w:type="spellEnd"/>
      <w:r w:rsidR="002348C2" w:rsidRPr="002348C2">
        <w:rPr>
          <w:b/>
          <w:sz w:val="22"/>
          <w:szCs w:val="22"/>
        </w:rPr>
        <w:t>.</w:t>
      </w:r>
    </w:p>
    <w:p w:rsidR="002F1873" w:rsidRDefault="002F1873" w:rsidP="00C20109">
      <w:pPr>
        <w:pStyle w:val="Default"/>
        <w:spacing w:after="120"/>
        <w:jc w:val="both"/>
      </w:pPr>
      <w:r w:rsidRPr="007F5124"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1" w:name="_Ref34805504"/>
      <w:bookmarkStart w:id="22" w:name="_Ref40598365"/>
      <w:bookmarkStart w:id="23" w:name="_Ref40612964"/>
      <w:bookmarkStart w:id="24" w:name="_Ref64972915"/>
      <w:bookmarkStart w:id="25" w:name="_Ref66010635"/>
      <w:bookmarkStart w:id="26" w:name="_Ref66010817"/>
      <w:bookmarkStart w:id="27" w:name="_Ref109482840"/>
      <w:bookmarkStart w:id="28" w:name="_Ref109482846"/>
      <w:bookmarkStart w:id="29" w:name="_Toc206381765"/>
      <w:r w:rsidRPr="007F5124">
        <w:rPr>
          <w:sz w:val="22"/>
          <w:szCs w:val="22"/>
        </w:rPr>
        <w:t>Ofertas - Documentación a Integrar</w:t>
      </w:r>
      <w:bookmarkStart w:id="30" w:name="_Ref10948167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94664" w:rsidRPr="00607D5A" w:rsidRDefault="002F1873" w:rsidP="00C20109">
      <w:pPr>
        <w:pStyle w:val="Prrafodelista"/>
        <w:numPr>
          <w:ilvl w:val="1"/>
          <w:numId w:val="29"/>
        </w:numPr>
        <w:spacing w:after="120" w:line="240" w:lineRule="auto"/>
        <w:jc w:val="both"/>
        <w:rPr>
          <w:rFonts w:ascii="Arial" w:hAnsi="Arial" w:cs="Arial"/>
        </w:rPr>
      </w:pPr>
      <w:r w:rsidRPr="00607D5A">
        <w:rPr>
          <w:rFonts w:ascii="Arial" w:hAnsi="Arial" w:cs="Arial"/>
        </w:rPr>
        <w:t>Toda documentación debe</w:t>
      </w:r>
      <w:r w:rsidR="00594664" w:rsidRPr="00607D5A">
        <w:rPr>
          <w:rFonts w:ascii="Arial" w:hAnsi="Arial" w:cs="Arial"/>
        </w:rPr>
        <w:t xml:space="preserve">rá ser presentada en una </w:t>
      </w:r>
      <w:r w:rsidRPr="00607D5A">
        <w:rPr>
          <w:rFonts w:ascii="Arial" w:hAnsi="Arial" w:cs="Arial"/>
        </w:rPr>
        <w:t xml:space="preserve">copia </w:t>
      </w:r>
      <w:r w:rsidR="00594664" w:rsidRPr="00607D5A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C20109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C20109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C20109">
      <w:pPr>
        <w:numPr>
          <w:ilvl w:val="1"/>
          <w:numId w:val="29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C20109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1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C20109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C20109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1"/>
    </w:p>
    <w:p w:rsidR="00276102" w:rsidRDefault="00276102" w:rsidP="00C20109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C20109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C20109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C20109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C20109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C20109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C20109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1B7C4F" w:rsidRPr="001B7C4F" w:rsidRDefault="009312F4" w:rsidP="00C20109">
      <w:pPr>
        <w:numPr>
          <w:ilvl w:val="1"/>
          <w:numId w:val="36"/>
        </w:numPr>
        <w:spacing w:after="120" w:line="240" w:lineRule="auto"/>
        <w:ind w:left="993" w:hanging="426"/>
        <w:jc w:val="both"/>
      </w:pPr>
      <w:r w:rsidRPr="001B7C4F">
        <w:rPr>
          <w:rFonts w:ascii="Arial" w:hAnsi="Arial" w:cs="Arial"/>
        </w:rPr>
        <w:t xml:space="preserve">Las constancias y certificaciones exigidas por el pliego de contratación </w:t>
      </w:r>
      <w:r w:rsidR="001B7C4F">
        <w:rPr>
          <w:rFonts w:ascii="Arial" w:hAnsi="Arial" w:cs="Arial"/>
        </w:rPr>
        <w:t>para la contratación específica.</w:t>
      </w:r>
    </w:p>
    <w:p w:rsidR="009C185A" w:rsidRPr="006768D1" w:rsidRDefault="009C185A" w:rsidP="00C20109">
      <w:pPr>
        <w:spacing w:after="120" w:line="240" w:lineRule="auto"/>
        <w:ind w:left="993"/>
        <w:jc w:val="both"/>
        <w:rPr>
          <w:rFonts w:ascii="Arial" w:hAnsi="Arial" w:cs="Arial"/>
        </w:rPr>
      </w:pPr>
    </w:p>
    <w:p w:rsidR="002F1873" w:rsidRPr="007F5124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2" w:name="_Toc206381769"/>
      <w:r w:rsidRPr="007F5124">
        <w:rPr>
          <w:sz w:val="22"/>
          <w:szCs w:val="22"/>
        </w:rPr>
        <w:t xml:space="preserve">Lugar de </w:t>
      </w:r>
      <w:bookmarkEnd w:id="32"/>
      <w:r w:rsidR="00607D5A">
        <w:rPr>
          <w:sz w:val="22"/>
          <w:szCs w:val="22"/>
        </w:rPr>
        <w:t>Prestación del Servicio</w:t>
      </w:r>
    </w:p>
    <w:p w:rsidR="009C185A" w:rsidRDefault="009C185A" w:rsidP="00C20109">
      <w:pPr>
        <w:spacing w:before="120"/>
        <w:jc w:val="both"/>
      </w:pPr>
      <w:r>
        <w:rPr>
          <w:rFonts w:ascii="Arial" w:hAnsi="Arial" w:cs="Arial"/>
          <w:szCs w:val="20"/>
          <w:lang w:eastAsia="ar-SA"/>
        </w:rPr>
        <w:t>El servicio de emergencias médicas se deberá prestar a solicitud de las dependencias detalladas en el Anexo I - Lugares de prestación del servicio, que forma parte del Pliego de Bases y Condiciones.</w:t>
      </w:r>
      <w:r w:rsidR="00C157D2">
        <w:rPr>
          <w:rFonts w:ascii="Arial" w:hAnsi="Arial" w:cs="Arial"/>
          <w:szCs w:val="20"/>
          <w:lang w:eastAsia="ar-SA"/>
        </w:rPr>
        <w:t xml:space="preserve"> Ante cualquier duda se podrá contactar con la Delegación Departamental de Sanidad de la Suprema Corte de Justicia vía correo electrónico a </w:t>
      </w:r>
      <w:r w:rsidR="00C157D2" w:rsidRPr="00C157D2">
        <w:rPr>
          <w:rFonts w:ascii="Arial" w:hAnsi="Arial" w:cs="Arial"/>
          <w:szCs w:val="20"/>
          <w:lang w:eastAsia="ar-SA"/>
        </w:rPr>
        <w:t>sanidad-lz@jusbuenosaires.gov.ar</w:t>
      </w:r>
      <w:r w:rsidR="00C157D2">
        <w:rPr>
          <w:rFonts w:ascii="Arial" w:hAnsi="Arial" w:cs="Arial"/>
          <w:szCs w:val="20"/>
          <w:lang w:eastAsia="ar-SA"/>
        </w:rPr>
        <w:t>.</w:t>
      </w:r>
    </w:p>
    <w:p w:rsidR="002F1873" w:rsidRPr="003D1DD6" w:rsidRDefault="00607D5A" w:rsidP="00C20109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.</w:t>
      </w:r>
    </w:p>
    <w:p w:rsidR="002F1873" w:rsidRPr="007F5124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</w:t>
      </w:r>
      <w:r w:rsidR="00C157D2">
        <w:rPr>
          <w:sz w:val="22"/>
          <w:szCs w:val="22"/>
        </w:rPr>
        <w:t>Duración del Contrato</w:t>
      </w:r>
    </w:p>
    <w:p w:rsidR="002F1873" w:rsidRPr="001357C6" w:rsidRDefault="00C157D2" w:rsidP="00C20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Contrato tendrá una duración máxima de (12) doce meses desde el 1 de Enero de 2026 o desde la fecha que indique la disposición de Adjudicación  y hasta el 31 de Diciembre de 2026.</w:t>
      </w:r>
    </w:p>
    <w:p w:rsidR="002F1873" w:rsidRPr="007F5124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Ref8471726"/>
      <w:bookmarkStart w:id="34" w:name="_Toc206381766"/>
      <w:bookmarkEnd w:id="30"/>
      <w:bookmarkEnd w:id="33"/>
      <w:r w:rsidRPr="007F5124">
        <w:rPr>
          <w:sz w:val="22"/>
          <w:szCs w:val="22"/>
        </w:rPr>
        <w:t>Defectos de Forma - Desestimación de Ofertas</w:t>
      </w:r>
      <w:bookmarkEnd w:id="34"/>
    </w:p>
    <w:p w:rsidR="00594664" w:rsidRPr="00820312" w:rsidRDefault="00594664" w:rsidP="00C20109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C20109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Pr="005201A7" w:rsidRDefault="002F1873" w:rsidP="00C20109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C20109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F1873" w:rsidRPr="003D1DD6" w:rsidRDefault="002F1873" w:rsidP="00C20109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Default="002F1873" w:rsidP="00C20109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Toc206381768"/>
      <w:r w:rsidRPr="007F5124">
        <w:rPr>
          <w:sz w:val="22"/>
          <w:szCs w:val="22"/>
        </w:rPr>
        <w:lastRenderedPageBreak/>
        <w:t>Perfeccionamiento del Contrato</w:t>
      </w:r>
      <w:bookmarkEnd w:id="35"/>
    </w:p>
    <w:p w:rsidR="002F1873" w:rsidRPr="003D1DD6" w:rsidRDefault="002F1873" w:rsidP="00C20109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C20109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C20109">
      <w:pPr>
        <w:jc w:val="both"/>
        <w:rPr>
          <w:rFonts w:ascii="Arial" w:hAnsi="Arial" w:cs="Arial"/>
        </w:rPr>
      </w:pPr>
      <w:bookmarkStart w:id="36" w:name="_Toc206381771"/>
      <w:bookmarkStart w:id="37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bookmarkEnd w:id="36"/>
    <w:p w:rsidR="00CE78AC" w:rsidRPr="001B7C4F" w:rsidRDefault="001B7C4F" w:rsidP="00C20109">
      <w:pPr>
        <w:pStyle w:val="Prrafodelista"/>
        <w:numPr>
          <w:ilvl w:val="0"/>
          <w:numId w:val="29"/>
        </w:numPr>
        <w:ind w:left="1080" w:hanging="360"/>
        <w:jc w:val="both"/>
        <w:rPr>
          <w:rFonts w:ascii="Arial" w:eastAsia="Times New Roman" w:hAnsi="Arial" w:cs="Times New Roman"/>
          <w:b/>
          <w:spacing w:val="-2"/>
          <w:lang w:val="es-MX" w:eastAsia="ar-SA"/>
        </w:rPr>
      </w:pPr>
      <w:r w:rsidRPr="001B7C4F">
        <w:rPr>
          <w:rFonts w:ascii="Arial" w:eastAsia="Times New Roman" w:hAnsi="Arial" w:cs="Times New Roman"/>
          <w:b/>
          <w:spacing w:val="-2"/>
          <w:lang w:val="es-MX" w:eastAsia="ar-SA"/>
        </w:rPr>
        <w:t>Forma de prestación del Servicio</w:t>
      </w:r>
    </w:p>
    <w:p w:rsidR="00CE78AC" w:rsidRPr="001B7C4F" w:rsidRDefault="001B7C4F" w:rsidP="00C20109">
      <w:pPr>
        <w:jc w:val="both"/>
        <w:rPr>
          <w:rFonts w:ascii="Arial" w:eastAsia="Times New Roman" w:hAnsi="Arial" w:cs="Times New Roman"/>
          <w:spacing w:val="-2"/>
          <w:lang w:eastAsia="ar-SA"/>
        </w:rPr>
      </w:pPr>
      <w:r w:rsidRPr="001B7C4F">
        <w:rPr>
          <w:rFonts w:ascii="Arial" w:eastAsia="Times New Roman" w:hAnsi="Arial" w:cs="Times New Roman"/>
          <w:spacing w:val="-2"/>
          <w:lang w:eastAsia="ar-SA"/>
        </w:rPr>
        <w:t>Los servicios serán efectuados ajustándose a la fecha, plazos, forma, condiciones, lugares y demás especificaciones establecidas en la documentación que integra el presente Pliego.</w:t>
      </w:r>
    </w:p>
    <w:p w:rsidR="001B7C4F" w:rsidRPr="00E55A84" w:rsidRDefault="001B7C4F" w:rsidP="00C20109">
      <w:pPr>
        <w:pStyle w:val="Prrafodelista"/>
        <w:numPr>
          <w:ilvl w:val="0"/>
          <w:numId w:val="47"/>
        </w:numPr>
        <w:jc w:val="both"/>
        <w:rPr>
          <w:rFonts w:ascii="Arial" w:eastAsia="Times New Roman" w:hAnsi="Arial" w:cs="Times New Roman"/>
          <w:b/>
          <w:spacing w:val="-2"/>
          <w:lang w:eastAsia="ar-SA"/>
        </w:rPr>
      </w:pPr>
      <w:r w:rsidRPr="00E55A84">
        <w:rPr>
          <w:rFonts w:ascii="Arial" w:eastAsia="Times New Roman" w:hAnsi="Arial" w:cs="Times New Roman"/>
          <w:b/>
          <w:spacing w:val="-2"/>
          <w:lang w:eastAsia="ar-SA"/>
        </w:rPr>
        <w:t>Recepción definitiva de los servicios.</w:t>
      </w:r>
    </w:p>
    <w:p w:rsidR="001B7C4F" w:rsidRDefault="001B7C4F" w:rsidP="00C20109">
      <w:pPr>
        <w:pStyle w:val="Prrafodelista"/>
        <w:ind w:left="397"/>
        <w:jc w:val="both"/>
        <w:rPr>
          <w:rFonts w:ascii="Arial" w:eastAsia="Times New Roman" w:hAnsi="Arial" w:cs="Times New Roman"/>
          <w:b/>
          <w:spacing w:val="-2"/>
          <w:lang w:eastAsia="ar-SA"/>
        </w:rPr>
      </w:pPr>
    </w:p>
    <w:p w:rsidR="001B7C4F" w:rsidRDefault="001B7C4F" w:rsidP="00C20109">
      <w:pPr>
        <w:pStyle w:val="Prrafodelista"/>
        <w:ind w:left="397"/>
        <w:jc w:val="both"/>
        <w:rPr>
          <w:rFonts w:ascii="Arial" w:eastAsia="Times New Roman" w:hAnsi="Arial" w:cs="Times New Roman"/>
          <w:spacing w:val="-2"/>
          <w:lang w:eastAsia="ar-SA"/>
        </w:rPr>
      </w:pPr>
      <w:r w:rsidRPr="001B7C4F">
        <w:rPr>
          <w:rFonts w:ascii="Arial" w:eastAsia="Times New Roman" w:hAnsi="Arial" w:cs="Times New Roman"/>
          <w:spacing w:val="-2"/>
          <w:lang w:eastAsia="ar-SA"/>
        </w:rPr>
        <w:t>La recepción</w:t>
      </w:r>
      <w:r>
        <w:rPr>
          <w:rFonts w:ascii="Arial" w:eastAsia="Times New Roman" w:hAnsi="Arial" w:cs="Times New Roman"/>
          <w:spacing w:val="-2"/>
          <w:lang w:eastAsia="ar-SA"/>
        </w:rPr>
        <w:t xml:space="preserve"> definitiva de la prestación de los Servicios de acuerdo con la Orden de Provisión, será acreditada por el Adjudicatario mediante certificado expedido al efecto</w:t>
      </w:r>
      <w:r w:rsidR="00E55A84">
        <w:rPr>
          <w:rFonts w:ascii="Arial" w:eastAsia="Times New Roman" w:hAnsi="Arial" w:cs="Times New Roman"/>
          <w:spacing w:val="-2"/>
          <w:lang w:eastAsia="ar-SA"/>
        </w:rPr>
        <w:t>.</w:t>
      </w:r>
    </w:p>
    <w:p w:rsidR="00E55A84" w:rsidRDefault="00E55A84" w:rsidP="00C20109">
      <w:pPr>
        <w:pStyle w:val="Prrafodelista"/>
        <w:ind w:left="397"/>
        <w:jc w:val="both"/>
        <w:rPr>
          <w:rFonts w:ascii="Arial" w:eastAsia="Times New Roman" w:hAnsi="Arial" w:cs="Times New Roman"/>
          <w:spacing w:val="-2"/>
          <w:lang w:eastAsia="ar-SA"/>
        </w:rPr>
      </w:pPr>
    </w:p>
    <w:p w:rsidR="00CE78AC" w:rsidRPr="00CE78AC" w:rsidRDefault="001B7C4F" w:rsidP="00C20109">
      <w:pPr>
        <w:ind w:left="-113"/>
        <w:jc w:val="both"/>
        <w:rPr>
          <w:rFonts w:ascii="Arial" w:eastAsia="Times New Roman" w:hAnsi="Arial" w:cs="Times New Roman"/>
          <w:b/>
          <w:spacing w:val="-2"/>
          <w:lang w:val="es-MX" w:eastAsia="ar-SA"/>
        </w:rPr>
      </w:pPr>
      <w:bookmarkStart w:id="38" w:name="_GoBack"/>
      <w:bookmarkEnd w:id="38"/>
      <w:r>
        <w:rPr>
          <w:rFonts w:ascii="Arial" w:eastAsia="Times New Roman" w:hAnsi="Arial" w:cs="Times New Roman"/>
          <w:b/>
          <w:spacing w:val="-2"/>
          <w:lang w:eastAsia="ar-SA"/>
        </w:rPr>
        <w:t xml:space="preserve"> </w:t>
      </w:r>
      <w:r w:rsidR="00E55A84">
        <w:rPr>
          <w:rFonts w:ascii="Arial" w:eastAsia="Times New Roman" w:hAnsi="Arial" w:cs="Times New Roman"/>
          <w:b/>
          <w:spacing w:val="-2"/>
          <w:lang w:eastAsia="ar-SA"/>
        </w:rPr>
        <w:t xml:space="preserve">        </w:t>
      </w:r>
      <w:r w:rsidR="00CE78AC" w:rsidRPr="00CE78AC">
        <w:rPr>
          <w:rFonts w:ascii="Arial" w:eastAsia="Times New Roman" w:hAnsi="Arial" w:cs="Times New Roman"/>
          <w:b/>
          <w:spacing w:val="-2"/>
          <w:lang w:val="es-MX" w:eastAsia="ar-SA"/>
        </w:rPr>
        <w:t>1</w:t>
      </w:r>
      <w:r w:rsidR="00CE78AC">
        <w:rPr>
          <w:rFonts w:ascii="Arial" w:eastAsia="Times New Roman" w:hAnsi="Arial" w:cs="Times New Roman"/>
          <w:b/>
          <w:spacing w:val="-2"/>
          <w:lang w:val="es-MX" w:eastAsia="ar-SA"/>
        </w:rPr>
        <w:t>7</w:t>
      </w:r>
      <w:r w:rsidR="00CE78AC" w:rsidRPr="00CE78AC">
        <w:rPr>
          <w:rFonts w:ascii="Arial" w:eastAsia="Times New Roman" w:hAnsi="Arial" w:cs="Times New Roman"/>
          <w:b/>
          <w:spacing w:val="-2"/>
          <w:lang w:val="es-MX" w:eastAsia="ar-SA"/>
        </w:rPr>
        <w:t xml:space="preserve">. </w:t>
      </w:r>
      <w:r w:rsidR="00CE78AC" w:rsidRPr="00CE78AC">
        <w:rPr>
          <w:rFonts w:ascii="Arial" w:eastAsia="Times New Roman" w:hAnsi="Arial" w:cs="Times New Roman"/>
          <w:b/>
          <w:spacing w:val="-2"/>
          <w:lang w:eastAsia="ar-SA"/>
        </w:rPr>
        <w:t>Horario de prestación del servicio</w:t>
      </w:r>
    </w:p>
    <w:p w:rsidR="00CE78AC" w:rsidRPr="00E55A84" w:rsidRDefault="00CE78AC" w:rsidP="00C20109">
      <w:pPr>
        <w:jc w:val="both"/>
        <w:rPr>
          <w:rFonts w:ascii="Arial" w:eastAsia="Times New Roman" w:hAnsi="Arial" w:cs="Times New Roman"/>
          <w:spacing w:val="-2"/>
          <w:lang w:val="es-ES" w:eastAsia="ar-SA"/>
        </w:rPr>
      </w:pPr>
      <w:r w:rsidRPr="00E55A84">
        <w:rPr>
          <w:rFonts w:ascii="Arial" w:eastAsia="Times New Roman" w:hAnsi="Arial" w:cs="Times New Roman"/>
          <w:spacing w:val="-2"/>
          <w:lang w:eastAsia="ar-SA"/>
        </w:rPr>
        <w:t xml:space="preserve">El servicio deberá ser prestado por el adjudicatario de manera eficiente e inmediata durante las 24 </w:t>
      </w:r>
      <w:proofErr w:type="spellStart"/>
      <w:r w:rsidRPr="00E55A84">
        <w:rPr>
          <w:rFonts w:ascii="Arial" w:eastAsia="Times New Roman" w:hAnsi="Arial" w:cs="Times New Roman"/>
          <w:spacing w:val="-2"/>
          <w:lang w:eastAsia="ar-SA"/>
        </w:rPr>
        <w:t>hs</w:t>
      </w:r>
      <w:proofErr w:type="spellEnd"/>
      <w:r w:rsidRPr="00E55A84">
        <w:rPr>
          <w:rFonts w:ascii="Arial" w:eastAsia="Times New Roman" w:hAnsi="Arial" w:cs="Times New Roman"/>
          <w:spacing w:val="-2"/>
          <w:lang w:eastAsia="ar-SA"/>
        </w:rPr>
        <w:t xml:space="preserve"> de los meses de </w:t>
      </w:r>
      <w:r w:rsidR="005201A7" w:rsidRPr="00E55A84">
        <w:rPr>
          <w:rFonts w:ascii="Arial" w:eastAsia="Times New Roman" w:hAnsi="Arial" w:cs="Times New Roman"/>
          <w:spacing w:val="-2"/>
          <w:lang w:eastAsia="ar-SA"/>
        </w:rPr>
        <w:t xml:space="preserve">Enero </w:t>
      </w:r>
      <w:r w:rsidRPr="00E55A84">
        <w:rPr>
          <w:rFonts w:ascii="Arial" w:eastAsia="Times New Roman" w:hAnsi="Arial" w:cs="Times New Roman"/>
          <w:spacing w:val="-2"/>
          <w:lang w:eastAsia="ar-SA"/>
        </w:rPr>
        <w:t>a Diciembre de 202</w:t>
      </w:r>
      <w:r w:rsidR="005201A7" w:rsidRPr="00E55A84">
        <w:rPr>
          <w:rFonts w:ascii="Arial" w:eastAsia="Times New Roman" w:hAnsi="Arial" w:cs="Times New Roman"/>
          <w:spacing w:val="-2"/>
          <w:lang w:eastAsia="ar-SA"/>
        </w:rPr>
        <w:t>6</w:t>
      </w:r>
      <w:r w:rsidRPr="00E55A84">
        <w:rPr>
          <w:rFonts w:ascii="Arial" w:eastAsia="Times New Roman" w:hAnsi="Arial" w:cs="Times New Roman"/>
          <w:spacing w:val="-2"/>
          <w:lang w:eastAsia="ar-SA"/>
        </w:rPr>
        <w:t xml:space="preserve"> o hasta la prestación del presente servicio.</w:t>
      </w:r>
    </w:p>
    <w:p w:rsidR="00CE78AC" w:rsidRPr="00CE78AC" w:rsidRDefault="00E55A84" w:rsidP="00C20109">
      <w:pPr>
        <w:jc w:val="both"/>
        <w:rPr>
          <w:rFonts w:ascii="Arial" w:eastAsia="Times New Roman" w:hAnsi="Arial" w:cs="Times New Roman"/>
          <w:b/>
          <w:spacing w:val="-2"/>
          <w:lang w:val="es-ES" w:eastAsia="ar-SA"/>
        </w:rPr>
      </w:pPr>
      <w:r>
        <w:rPr>
          <w:rFonts w:ascii="Arial" w:eastAsia="Times New Roman" w:hAnsi="Arial" w:cs="Times New Roman"/>
          <w:b/>
          <w:bCs/>
          <w:spacing w:val="-2"/>
          <w:lang w:val="es-MX" w:eastAsia="ar-SA"/>
        </w:rPr>
        <w:t xml:space="preserve">     </w:t>
      </w:r>
      <w:r w:rsidR="00CE78AC">
        <w:rPr>
          <w:rFonts w:ascii="Arial" w:eastAsia="Times New Roman" w:hAnsi="Arial" w:cs="Times New Roman"/>
          <w:b/>
          <w:bCs/>
          <w:spacing w:val="-2"/>
          <w:lang w:val="es-MX" w:eastAsia="ar-SA"/>
        </w:rPr>
        <w:t>18</w:t>
      </w:r>
      <w:r w:rsidR="00CE78AC" w:rsidRPr="00CE78AC">
        <w:rPr>
          <w:rFonts w:ascii="Arial" w:eastAsia="Times New Roman" w:hAnsi="Arial" w:cs="Times New Roman"/>
          <w:b/>
          <w:bCs/>
          <w:spacing w:val="-2"/>
          <w:lang w:val="es-MX" w:eastAsia="ar-SA"/>
        </w:rPr>
        <w:t>. Cláusula de Indemnidad</w:t>
      </w:r>
    </w:p>
    <w:p w:rsidR="00CE78AC" w:rsidRPr="00E55A84" w:rsidRDefault="00CE78AC" w:rsidP="00C20109">
      <w:pPr>
        <w:jc w:val="both"/>
        <w:rPr>
          <w:rFonts w:ascii="Arial" w:eastAsia="Times New Roman" w:hAnsi="Arial" w:cs="Times New Roman"/>
          <w:spacing w:val="-2"/>
          <w:lang w:val="es-ES" w:eastAsia="ar-SA"/>
        </w:rPr>
      </w:pPr>
      <w:r w:rsidRPr="00E55A84">
        <w:rPr>
          <w:rFonts w:ascii="Arial" w:eastAsia="Times New Roman" w:hAnsi="Arial" w:cs="Times New Roman"/>
          <w:spacing w:val="-2"/>
          <w:lang w:eastAsia="ar-SA"/>
        </w:rPr>
        <w:t>El contratista no tiene ningún tipo de relación con el personal del Prestador, afectado al cumplimiento de las tareas objeto del presente y no responderá por ningún tipo de reclamo. Sin perjuicio de lo establecido en el párrafo anterior, el prestador se compromete y acuerda en forma irrevocable, mantener indemne al comitente por cualquier reclamo, acción judicial, demanda, daño o responsabilidad de cualquier tipo o naturaleza que sea entablada por cualquier persona pública o privada, física o jurídica, o dependientes del prestador, cualquiera fuera la causa del reclamo, responsabilidad que se mantendrá aún concluida la contratación cualquiera fuera la causa y se extenderá o alcanzará a indemnizaciones, gastos y costas, sin que la enunciación sea limitativa.</w:t>
      </w:r>
    </w:p>
    <w:p w:rsidR="00CE78AC" w:rsidRPr="00E55A84" w:rsidRDefault="00CE78AC" w:rsidP="00C20109">
      <w:pPr>
        <w:jc w:val="both"/>
        <w:rPr>
          <w:rFonts w:ascii="Arial" w:eastAsia="Times New Roman" w:hAnsi="Arial" w:cs="Times New Roman"/>
          <w:spacing w:val="-2"/>
          <w:lang w:val="es-ES" w:eastAsia="ar-SA"/>
        </w:rPr>
      </w:pPr>
      <w:r w:rsidRPr="00E55A84">
        <w:rPr>
          <w:rFonts w:ascii="Arial" w:eastAsia="Times New Roman" w:hAnsi="Arial" w:cs="Times New Roman"/>
          <w:spacing w:val="-2"/>
          <w:lang w:eastAsia="ar-SA"/>
        </w:rPr>
        <w:t>Si durante el término del contrato la dependencia o parte de ella, en la cual se deba prestar el servicio, se trasladara dentro del radio de la ciudad a otro inmueble, será obligación del contratista continuar con la prestación del mismo sin derecho a reclamo o alteración alguna de las condiciones del precio pactado.</w:t>
      </w:r>
    </w:p>
    <w:p w:rsidR="002F1873" w:rsidRPr="00864AEF" w:rsidRDefault="00C20109" w:rsidP="00C20109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55A84">
        <w:rPr>
          <w:sz w:val="22"/>
          <w:szCs w:val="22"/>
        </w:rPr>
        <w:t>19</w:t>
      </w:r>
      <w:r w:rsidR="00CE78A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F1873" w:rsidRPr="00864AEF">
        <w:rPr>
          <w:sz w:val="22"/>
          <w:szCs w:val="22"/>
        </w:rPr>
        <w:t>Penalidades y Sanciones</w:t>
      </w:r>
    </w:p>
    <w:p w:rsidR="002F1873" w:rsidRPr="003D1DD6" w:rsidRDefault="002F1873" w:rsidP="00C20109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C20109" w:rsidP="00C20109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E78AC">
        <w:rPr>
          <w:sz w:val="22"/>
          <w:szCs w:val="22"/>
        </w:rPr>
        <w:t>2</w:t>
      </w:r>
      <w:r w:rsidR="00E55A84">
        <w:rPr>
          <w:sz w:val="22"/>
          <w:szCs w:val="22"/>
        </w:rPr>
        <w:t>0</w:t>
      </w:r>
      <w:r w:rsidR="00CE78A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F1873" w:rsidRPr="00864AEF">
        <w:rPr>
          <w:sz w:val="22"/>
          <w:szCs w:val="22"/>
        </w:rPr>
        <w:t>Facturas y Pago</w:t>
      </w:r>
    </w:p>
    <w:p w:rsidR="00A138C0" w:rsidRPr="00864AEF" w:rsidRDefault="00A138C0" w:rsidP="00C20109">
      <w:pPr>
        <w:pStyle w:val="Sangradetextonormal"/>
        <w:spacing w:after="120"/>
        <w:ind w:left="0" w:firstLine="0"/>
        <w:jc w:val="both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2</w:t>
      </w:r>
      <w:r w:rsidR="002348C2">
        <w:rPr>
          <w:rFonts w:ascii="Arial" w:hAnsi="Arial" w:cs="Arial"/>
          <w:szCs w:val="22"/>
        </w:rPr>
        <w:t>300</w:t>
      </w:r>
      <w:r w:rsidR="00CF2F45">
        <w:rPr>
          <w:rFonts w:ascii="Arial" w:hAnsi="Arial" w:cs="Arial"/>
          <w:szCs w:val="22"/>
        </w:rPr>
        <w:t xml:space="preserve">, Planta Baja, Sector </w:t>
      </w:r>
      <w:r w:rsidR="002348C2">
        <w:rPr>
          <w:rFonts w:ascii="Arial" w:hAnsi="Arial" w:cs="Arial"/>
          <w:szCs w:val="22"/>
        </w:rPr>
        <w:t>Fondo</w:t>
      </w:r>
      <w:r w:rsidR="00CF2F45">
        <w:rPr>
          <w:rFonts w:ascii="Arial" w:hAnsi="Arial" w:cs="Arial"/>
          <w:szCs w:val="22"/>
        </w:rPr>
        <w:t>, Banfield.</w:t>
      </w:r>
    </w:p>
    <w:p w:rsidR="00A138C0" w:rsidRPr="00F53BB4" w:rsidRDefault="00A138C0" w:rsidP="00C20109">
      <w:pPr>
        <w:pStyle w:val="Sangradetextonormal"/>
        <w:spacing w:after="120"/>
        <w:ind w:hanging="1134"/>
        <w:jc w:val="both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lastRenderedPageBreak/>
        <w:t xml:space="preserve">Alternativamente, podrá remitirse la factura electrónica al siguiente mail: </w:t>
      </w:r>
      <w:proofErr w:type="spellStart"/>
      <w:r w:rsidR="00CF2F45">
        <w:rPr>
          <w:rFonts w:ascii="Arial" w:hAnsi="Arial" w:cs="Arial"/>
          <w:szCs w:val="22"/>
        </w:rPr>
        <w:t>administración.lz</w:t>
      </w:r>
      <w:proofErr w:type="spell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C20109">
      <w:pPr>
        <w:pStyle w:val="Sangradetextonormal"/>
        <w:ind w:left="0" w:firstLine="0"/>
        <w:jc w:val="both"/>
        <w:rPr>
          <w:rFonts w:ascii="Arial" w:hAnsi="Arial" w:cs="Arial"/>
          <w:szCs w:val="22"/>
        </w:rPr>
      </w:pPr>
    </w:p>
    <w:p w:rsidR="00A138C0" w:rsidRPr="008F1EBC" w:rsidRDefault="00A138C0" w:rsidP="00C20109">
      <w:pPr>
        <w:pStyle w:val="Sangradetexto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both"/>
        <w:rPr>
          <w:rFonts w:ascii="Arial" w:hAnsi="Arial" w:cs="Arial"/>
          <w:b/>
          <w:szCs w:val="22"/>
        </w:rPr>
      </w:pPr>
      <w:r w:rsidRPr="008F1EBC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8F1EBC">
        <w:rPr>
          <w:rFonts w:ascii="Arial" w:hAnsi="Arial" w:cs="Arial"/>
          <w:b/>
          <w:szCs w:val="22"/>
          <w:lang w:val="es-AR"/>
        </w:rPr>
        <w:t>condición frente al IVA “</w:t>
      </w:r>
      <w:r w:rsidR="002348C2">
        <w:rPr>
          <w:rFonts w:ascii="Arial" w:hAnsi="Arial" w:cs="Arial"/>
          <w:b/>
          <w:szCs w:val="22"/>
          <w:lang w:val="es-AR"/>
        </w:rPr>
        <w:t>NO</w:t>
      </w:r>
      <w:r w:rsidR="00E76242" w:rsidRPr="008F1EBC">
        <w:rPr>
          <w:rFonts w:ascii="Arial" w:hAnsi="Arial" w:cs="Arial"/>
          <w:b/>
          <w:szCs w:val="22"/>
          <w:lang w:val="es-AR"/>
        </w:rPr>
        <w:t xml:space="preserve"> </w:t>
      </w:r>
      <w:r w:rsidR="002348C2">
        <w:rPr>
          <w:rFonts w:ascii="Arial" w:hAnsi="Arial" w:cs="Arial"/>
          <w:b/>
          <w:szCs w:val="22"/>
          <w:lang w:val="es-AR"/>
        </w:rPr>
        <w:t>ALCANZADO</w:t>
      </w:r>
      <w:r w:rsidR="00E76242" w:rsidRPr="008F1EBC">
        <w:rPr>
          <w:rFonts w:ascii="Arial" w:hAnsi="Arial" w:cs="Arial"/>
          <w:b/>
          <w:szCs w:val="22"/>
          <w:lang w:val="es-AR"/>
        </w:rPr>
        <w:t xml:space="preserve">”, forma de pago </w:t>
      </w:r>
      <w:r w:rsidR="008F1EBC" w:rsidRPr="008F1EBC">
        <w:rPr>
          <w:rFonts w:ascii="Arial" w:hAnsi="Arial" w:cs="Arial"/>
          <w:b/>
          <w:szCs w:val="22"/>
          <w:lang w:val="es-AR"/>
        </w:rPr>
        <w:t>OTRO</w:t>
      </w:r>
      <w:r w:rsidR="00E76242" w:rsidRPr="008F1EBC">
        <w:rPr>
          <w:rFonts w:ascii="Arial" w:hAnsi="Arial" w:cs="Arial"/>
          <w:b/>
          <w:szCs w:val="22"/>
          <w:lang w:val="es-AR"/>
        </w:rPr>
        <w:t xml:space="preserve"> </w:t>
      </w:r>
      <w:r w:rsidRPr="008F1EBC">
        <w:rPr>
          <w:rFonts w:ascii="Arial" w:hAnsi="Arial" w:cs="Arial"/>
          <w:b/>
          <w:szCs w:val="22"/>
        </w:rPr>
        <w:t>y deberá constar:</w:t>
      </w:r>
    </w:p>
    <w:p w:rsidR="00A138C0" w:rsidRPr="00820312" w:rsidRDefault="00A138C0" w:rsidP="00C20109">
      <w:pPr>
        <w:pStyle w:val="Sangradetextonormal"/>
        <w:numPr>
          <w:ilvl w:val="0"/>
          <w:numId w:val="37"/>
        </w:numPr>
        <w:jc w:val="both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C20109">
      <w:pPr>
        <w:pStyle w:val="Sangradetextonormal"/>
        <w:numPr>
          <w:ilvl w:val="0"/>
          <w:numId w:val="37"/>
        </w:numPr>
        <w:jc w:val="both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C20109">
      <w:pPr>
        <w:pStyle w:val="Sangradetextonormal"/>
        <w:numPr>
          <w:ilvl w:val="0"/>
          <w:numId w:val="37"/>
        </w:numPr>
        <w:jc w:val="both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C20109">
      <w:pPr>
        <w:pStyle w:val="Sangradetextonormal"/>
        <w:ind w:left="0" w:firstLine="0"/>
        <w:jc w:val="both"/>
        <w:rPr>
          <w:rFonts w:ascii="Arial" w:hAnsi="Arial" w:cs="Arial"/>
          <w:szCs w:val="22"/>
        </w:rPr>
      </w:pPr>
    </w:p>
    <w:p w:rsidR="00A138C0" w:rsidRPr="00F53BB4" w:rsidRDefault="00A138C0" w:rsidP="00C20109">
      <w:pPr>
        <w:pStyle w:val="Sangradetextonormal"/>
        <w:ind w:left="0" w:firstLine="0"/>
        <w:jc w:val="both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C20109">
      <w:pPr>
        <w:pStyle w:val="Sangradetextonormal"/>
        <w:numPr>
          <w:ilvl w:val="0"/>
          <w:numId w:val="38"/>
        </w:numPr>
        <w:jc w:val="both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C20109">
      <w:pPr>
        <w:pStyle w:val="Sangradetextonormal"/>
        <w:numPr>
          <w:ilvl w:val="0"/>
          <w:numId w:val="38"/>
        </w:numPr>
        <w:jc w:val="both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C20109">
      <w:pPr>
        <w:jc w:val="both"/>
        <w:rPr>
          <w:rFonts w:ascii="Arial" w:hAnsi="Arial" w:cs="Arial"/>
        </w:rPr>
      </w:pPr>
    </w:p>
    <w:p w:rsidR="00A138C0" w:rsidRPr="00F53BB4" w:rsidRDefault="00A138C0" w:rsidP="00C20109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C20109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C20109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bookmarkEnd w:id="37"/>
    <w:sectPr w:rsidR="00A138C0" w:rsidRPr="00F53BB4" w:rsidSect="00E55A84">
      <w:headerReference w:type="default" r:id="rId10"/>
      <w:pgSz w:w="11906" w:h="16838"/>
      <w:pgMar w:top="1531" w:right="1701" w:bottom="1418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102" w:rsidRDefault="00276102" w:rsidP="00276102">
      <w:pPr>
        <w:spacing w:after="0" w:line="240" w:lineRule="auto"/>
      </w:pPr>
      <w:r>
        <w:separator/>
      </w:r>
    </w:p>
  </w:endnote>
  <w:endnote w:type="continuationSeparator" w:id="0">
    <w:p w:rsidR="00276102" w:rsidRDefault="00276102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102" w:rsidRDefault="00276102" w:rsidP="00276102">
      <w:pPr>
        <w:spacing w:after="0" w:line="240" w:lineRule="auto"/>
      </w:pPr>
      <w:r>
        <w:separator/>
      </w:r>
    </w:p>
  </w:footnote>
  <w:footnote w:type="continuationSeparator" w:id="0">
    <w:p w:rsidR="00276102" w:rsidRDefault="00276102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4"/>
    <w:lvl w:ilvl="0">
      <w:start w:val="1"/>
      <w:numFmt w:val="lowerLetter"/>
      <w:lvlText w:val="%1."/>
      <w:lvlJc w:val="left"/>
      <w:pPr>
        <w:tabs>
          <w:tab w:val="num" w:pos="0"/>
        </w:tabs>
        <w:ind w:left="1065" w:hanging="360"/>
      </w:pPr>
      <w:rPr>
        <w:rFonts w:ascii="Arial" w:eastAsia="Times New Roman" w:hAnsi="Arial" w:cs="Arial"/>
        <w:sz w:val="22"/>
        <w:szCs w:val="22"/>
        <w:lang w:val="es-MX" w:eastAsia="ar-SA"/>
      </w:rPr>
    </w:lvl>
  </w:abstractNum>
  <w:abstractNum w:abstractNumId="1">
    <w:nsid w:val="00000005"/>
    <w:multiLevelType w:val="multilevel"/>
    <w:tmpl w:val="ABE85ECE"/>
    <w:name w:val="WW8Num6"/>
    <w:lvl w:ilvl="0">
      <w:start w:val="1"/>
      <w:numFmt w:val="decimal"/>
      <w:lvlText w:val="%1."/>
      <w:lvlJc w:val="left"/>
      <w:pPr>
        <w:tabs>
          <w:tab w:val="num" w:pos="566"/>
        </w:tabs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41"/>
        </w:tabs>
      </w:pPr>
    </w:lvl>
    <w:lvl w:ilvl="2">
      <w:start w:val="1"/>
      <w:numFmt w:val="decimal"/>
      <w:lvlText w:val="%1.%2.%3"/>
      <w:lvlJc w:val="left"/>
      <w:pPr>
        <w:tabs>
          <w:tab w:val="num" w:pos="141"/>
        </w:tabs>
      </w:pPr>
    </w:lvl>
    <w:lvl w:ilvl="3">
      <w:start w:val="1"/>
      <w:numFmt w:val="decimal"/>
      <w:lvlText w:val="%1.%2.%3.%4"/>
      <w:lvlJc w:val="left"/>
      <w:pPr>
        <w:tabs>
          <w:tab w:val="num" w:pos="141"/>
        </w:tabs>
      </w:pPr>
    </w:lvl>
    <w:lvl w:ilvl="4">
      <w:start w:val="1"/>
      <w:numFmt w:val="decimal"/>
      <w:lvlText w:val="%1.%2.%3.%4.%5"/>
      <w:lvlJc w:val="left"/>
      <w:pPr>
        <w:tabs>
          <w:tab w:val="num" w:pos="141"/>
        </w:tabs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</w:pPr>
    </w:lvl>
  </w:abstractNum>
  <w:abstractNum w:abstractNumId="2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7364A"/>
    <w:multiLevelType w:val="hybridMultilevel"/>
    <w:tmpl w:val="00A2AB14"/>
    <w:lvl w:ilvl="0" w:tplc="A426B07C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2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1C5655"/>
    <w:multiLevelType w:val="hybridMultilevel"/>
    <w:tmpl w:val="9CEC99FC"/>
    <w:lvl w:ilvl="0" w:tplc="2C0A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3"/>
  </w:num>
  <w:num w:numId="3">
    <w:abstractNumId w:val="15"/>
  </w:num>
  <w:num w:numId="4">
    <w:abstractNumId w:val="5"/>
  </w:num>
  <w:num w:numId="5">
    <w:abstractNumId w:val="35"/>
  </w:num>
  <w:num w:numId="6">
    <w:abstractNumId w:val="17"/>
  </w:num>
  <w:num w:numId="7">
    <w:abstractNumId w:val="38"/>
  </w:num>
  <w:num w:numId="8">
    <w:abstractNumId w:val="30"/>
  </w:num>
  <w:num w:numId="9">
    <w:abstractNumId w:val="13"/>
  </w:num>
  <w:num w:numId="10">
    <w:abstractNumId w:val="43"/>
  </w:num>
  <w:num w:numId="11">
    <w:abstractNumId w:val="34"/>
  </w:num>
  <w:num w:numId="12">
    <w:abstractNumId w:val="32"/>
  </w:num>
  <w:num w:numId="13">
    <w:abstractNumId w:val="14"/>
  </w:num>
  <w:num w:numId="14">
    <w:abstractNumId w:val="45"/>
  </w:num>
  <w:num w:numId="15">
    <w:abstractNumId w:val="22"/>
  </w:num>
  <w:num w:numId="16">
    <w:abstractNumId w:val="6"/>
  </w:num>
  <w:num w:numId="17">
    <w:abstractNumId w:val="21"/>
  </w:num>
  <w:num w:numId="18">
    <w:abstractNumId w:val="12"/>
  </w:num>
  <w:num w:numId="19">
    <w:abstractNumId w:val="40"/>
  </w:num>
  <w:num w:numId="20">
    <w:abstractNumId w:val="29"/>
  </w:num>
  <w:num w:numId="21">
    <w:abstractNumId w:val="11"/>
  </w:num>
  <w:num w:numId="22">
    <w:abstractNumId w:val="28"/>
  </w:num>
  <w:num w:numId="23">
    <w:abstractNumId w:val="4"/>
  </w:num>
  <w:num w:numId="24">
    <w:abstractNumId w:val="16"/>
  </w:num>
  <w:num w:numId="25">
    <w:abstractNumId w:val="9"/>
  </w:num>
  <w:num w:numId="26">
    <w:abstractNumId w:val="41"/>
  </w:num>
  <w:num w:numId="27">
    <w:abstractNumId w:val="24"/>
  </w:num>
  <w:num w:numId="28">
    <w:abstractNumId w:val="25"/>
  </w:num>
  <w:num w:numId="29">
    <w:abstractNumId w:val="1"/>
  </w:num>
  <w:num w:numId="30">
    <w:abstractNumId w:val="2"/>
  </w:num>
  <w:num w:numId="31">
    <w:abstractNumId w:val="3"/>
  </w:num>
  <w:num w:numId="32">
    <w:abstractNumId w:val="37"/>
  </w:num>
  <w:num w:numId="33">
    <w:abstractNumId w:val="31"/>
  </w:num>
  <w:num w:numId="34">
    <w:abstractNumId w:val="36"/>
  </w:num>
  <w:num w:numId="35">
    <w:abstractNumId w:val="10"/>
  </w:num>
  <w:num w:numId="36">
    <w:abstractNumId w:val="42"/>
  </w:num>
  <w:num w:numId="37">
    <w:abstractNumId w:val="39"/>
  </w:num>
  <w:num w:numId="38">
    <w:abstractNumId w:val="20"/>
  </w:num>
  <w:num w:numId="39">
    <w:abstractNumId w:val="27"/>
  </w:num>
  <w:num w:numId="40">
    <w:abstractNumId w:val="7"/>
  </w:num>
  <w:num w:numId="41">
    <w:abstractNumId w:val="23"/>
  </w:num>
  <w:num w:numId="42">
    <w:abstractNumId w:val="26"/>
  </w:num>
  <w:num w:numId="43">
    <w:abstractNumId w:val="19"/>
  </w:num>
  <w:num w:numId="44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8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6DE4"/>
    <w:rsid w:val="0008762C"/>
    <w:rsid w:val="00093B67"/>
    <w:rsid w:val="000A3992"/>
    <w:rsid w:val="000D7775"/>
    <w:rsid w:val="000F1970"/>
    <w:rsid w:val="000F5714"/>
    <w:rsid w:val="001128C8"/>
    <w:rsid w:val="001134D4"/>
    <w:rsid w:val="00113BE8"/>
    <w:rsid w:val="0011600C"/>
    <w:rsid w:val="00121502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A4A92"/>
    <w:rsid w:val="001B1733"/>
    <w:rsid w:val="001B1864"/>
    <w:rsid w:val="001B3C13"/>
    <w:rsid w:val="001B7C4F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348C2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C4CE0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96701"/>
    <w:rsid w:val="003A1A6F"/>
    <w:rsid w:val="003A5252"/>
    <w:rsid w:val="003A5C88"/>
    <w:rsid w:val="003A7E3C"/>
    <w:rsid w:val="003B1A6F"/>
    <w:rsid w:val="003C3E28"/>
    <w:rsid w:val="003D6A6A"/>
    <w:rsid w:val="003E2C03"/>
    <w:rsid w:val="003E3C95"/>
    <w:rsid w:val="00400851"/>
    <w:rsid w:val="00450ABA"/>
    <w:rsid w:val="00451239"/>
    <w:rsid w:val="00456D02"/>
    <w:rsid w:val="00457B8D"/>
    <w:rsid w:val="004649DF"/>
    <w:rsid w:val="004667D2"/>
    <w:rsid w:val="00470E90"/>
    <w:rsid w:val="004726E3"/>
    <w:rsid w:val="004754A6"/>
    <w:rsid w:val="0048532E"/>
    <w:rsid w:val="00494935"/>
    <w:rsid w:val="004C279B"/>
    <w:rsid w:val="004D02FA"/>
    <w:rsid w:val="004D3329"/>
    <w:rsid w:val="004E29C6"/>
    <w:rsid w:val="004E3EA4"/>
    <w:rsid w:val="004F1CF6"/>
    <w:rsid w:val="005122BF"/>
    <w:rsid w:val="0051380C"/>
    <w:rsid w:val="00514553"/>
    <w:rsid w:val="0051722F"/>
    <w:rsid w:val="005201A7"/>
    <w:rsid w:val="0052135E"/>
    <w:rsid w:val="00521556"/>
    <w:rsid w:val="00542366"/>
    <w:rsid w:val="00556A58"/>
    <w:rsid w:val="005628F4"/>
    <w:rsid w:val="00566E35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07D5A"/>
    <w:rsid w:val="006305A0"/>
    <w:rsid w:val="0063378F"/>
    <w:rsid w:val="006533B0"/>
    <w:rsid w:val="006552BC"/>
    <w:rsid w:val="00676F1F"/>
    <w:rsid w:val="00690E3C"/>
    <w:rsid w:val="00693C76"/>
    <w:rsid w:val="006A2D73"/>
    <w:rsid w:val="006A7A75"/>
    <w:rsid w:val="006B2AA7"/>
    <w:rsid w:val="006B5835"/>
    <w:rsid w:val="006C4303"/>
    <w:rsid w:val="006C53F7"/>
    <w:rsid w:val="006C6AD5"/>
    <w:rsid w:val="006C79BE"/>
    <w:rsid w:val="006D0067"/>
    <w:rsid w:val="006E317A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268EB"/>
    <w:rsid w:val="0083777B"/>
    <w:rsid w:val="00840181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07F3"/>
    <w:rsid w:val="008F1EBC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C185A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A0B4D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44F2B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157D2"/>
    <w:rsid w:val="00C20109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E78AC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DF3E81"/>
    <w:rsid w:val="00E12739"/>
    <w:rsid w:val="00E12AB2"/>
    <w:rsid w:val="00E412BE"/>
    <w:rsid w:val="00E42F0C"/>
    <w:rsid w:val="00E52503"/>
    <w:rsid w:val="00E55A84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A69D1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  <w:style w:type="paragraph" w:customStyle="1" w:styleId="Sangra2detindependiente1">
    <w:name w:val="Sangría 2 de t. independiente1"/>
    <w:basedOn w:val="Normal"/>
    <w:rsid w:val="006E317A"/>
    <w:pPr>
      <w:tabs>
        <w:tab w:val="center" w:pos="4749"/>
        <w:tab w:val="right" w:pos="9001"/>
      </w:tabs>
      <w:suppressAutoHyphens/>
      <w:spacing w:after="0" w:line="240" w:lineRule="auto"/>
      <w:ind w:left="426"/>
      <w:jc w:val="both"/>
    </w:pPr>
    <w:rPr>
      <w:rFonts w:ascii="Times New Roman" w:eastAsia="Times New Roman" w:hAnsi="Times New Roman" w:cs="Times New Roman"/>
      <w:szCs w:val="20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4F3E9-900A-498A-A441-51C33415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1800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Adriana Marcela Corno</cp:lastModifiedBy>
  <cp:revision>20</cp:revision>
  <cp:lastPrinted>2025-11-05T16:27:00Z</cp:lastPrinted>
  <dcterms:created xsi:type="dcterms:W3CDTF">2024-05-24T14:16:00Z</dcterms:created>
  <dcterms:modified xsi:type="dcterms:W3CDTF">2025-11-05T17:05:00Z</dcterms:modified>
</cp:coreProperties>
</file>